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Gestión de
Incidentes Laborales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Módulos helpdesk · quality · maintenance · project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PR-PRL-002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05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Gestión de Incidentes Laborales — Notificación, Investigación y Acciones Correctivas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PR-PRL-002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Módulos helpdesk · quality · maintenance · project  · 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05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Prevención de Riesgos Laborales (PRL)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Centralizar en Odoo la gestión integral de los incidentes laborales: desde el registro inmediato del incidente en el módulo de Asistencia (Helpdesk) con SLAs que reflejan los plazos legales de notificación DELT@, hasta el cierre del expediente con investigación de causa raíz completa, acciones CAPA verificadas y evaluación de riesgos actualizada. Si hay maquinaria implicada, el proceso se extiende a Quality (quality.alert) y Mantenimiento (maintenance.request). La investigación se gestiona como un proyecto en Odoo con plantillas estructuradas de 5 Porqués u 8D.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DC2626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FECACA" w:sz="4"/>
              <w:left w:val="single" w:color="FECACA" w:sz="4"/>
              <w:bottom w:val="single" w:color="FECACA" w:sz="4"/>
              <w:right w:val="single" w:color="FECACA" w:sz="4"/>
            </w:tcBorders>
            <w:shd w:fill="FEF2F2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7"/>
                <w:szCs w:val="17"/>
              </w:rPr>
              <w:t xml:space="preserve">Plazos Legales DELT@ — Obligación de Notificación (Art. 23.3 Ley 31/1995)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7"/>
                <w:szCs w:val="17"/>
              </w:rPr>
              <w:t xml:space="preserve">24 horas: accidentes graves, muy graves, mortales o colectivos (+ 4 trabajadores) → notificación DELT@ + comunicación directa a la autoridad laboral.
5 días hábiles: accidentes con baja médica → notificación vía DELT@.
Día 5 de cada mes: relación mensual de accidentes sin baja del mes anterior.
Estos plazos están configurados como SLAs en el equipo de Helpdesk "Incidentes Laborales PRL".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"/>
        <w:gridCol w:w="1200"/>
        <w:gridCol w:w="160"/>
        <w:gridCol w:w="1200"/>
        <w:gridCol w:w="160"/>
        <w:gridCol w:w="1200"/>
        <w:gridCol w:w="160"/>
        <w:gridCol w:w="1200"/>
        <w:gridCol w:w="160"/>
        <w:gridCol w:w="1200"/>
        <w:gridCol w:w="160"/>
        <w:gridCol w:w="1518"/>
      </w:tblGrid>
      <w:tr>
        <w:tc>
          <w:tcPr>
            <w:tcW w:type="dxa" w:w="1200"/>
            <w:tcBorders>
              <w:top w:val="single" w:color="FECACA" w:sz="4"/>
              <w:left w:val="single" w:color="FECACA" w:sz="8"/>
              <w:bottom w:val="single" w:color="FECACA" w:sz="4"/>
              <w:right w:val="none" w:color="FFFFFF" w:sz="0"/>
            </w:tcBorders>
            <w:shd w:fill="FEF2F2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6"/>
                <w:szCs w:val="16"/>
              </w:rPr>
              <w:t xml:space="preserve">Nuevo Incidente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DC2626"/>
                <w:sz w:val="13"/>
                <w:szCs w:val="13"/>
              </w:rPr>
              <w:t xml:space="preserve">SLA: 2 h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ED7AA" w:sz="4"/>
              <w:left w:val="single" w:color="FED7AA" w:sz="8"/>
              <w:bottom w:val="single" w:color="FED7AA" w:sz="4"/>
              <w:right w:val="none" w:color="FFFFFF" w:sz="0"/>
            </w:tcBorders>
            <w:shd w:fill="FFF7ED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A580C"/>
                <w:sz w:val="16"/>
                <w:szCs w:val="16"/>
              </w:rPr>
              <w:t xml:space="preserve">Triaje y Clasificación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EA580C"/>
                <w:sz w:val="13"/>
                <w:szCs w:val="13"/>
              </w:rPr>
              <w:t xml:space="preserve">SLA: 4 h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DE68A" w:sz="4"/>
              <w:left w:val="single" w:color="FDE68A" w:sz="8"/>
              <w:bottom w:val="single" w:color="FDE68A" w:sz="4"/>
              <w:right w:val="none" w:color="FFFFFF" w:sz="0"/>
            </w:tcBorders>
            <w:shd w:fill="FFFBEB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6"/>
                <w:szCs w:val="16"/>
              </w:rPr>
              <w:t xml:space="preserve">Atención Inmediata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D97706"/>
                <w:sz w:val="13"/>
                <w:szCs w:val="13"/>
              </w:rPr>
              <w:t xml:space="preserve">SLA: 8 h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BFDBFE" w:sz="4"/>
              <w:left w:val="single" w:color="BFDBFE" w:sz="8"/>
              <w:bottom w:val="single" w:color="BFDBFE" w:sz="4"/>
              <w:right w:val="none" w:color="FFFFFF" w:sz="0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6"/>
                <w:szCs w:val="16"/>
              </w:rPr>
              <w:t xml:space="preserve">Notificación DELT@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1D4ED8"/>
                <w:sz w:val="13"/>
                <w:szCs w:val="13"/>
              </w:rPr>
              <w:t xml:space="preserve">24h/5días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DDD6FE" w:sz="4"/>
              <w:left w:val="single" w:color="DDD6FE" w:sz="8"/>
              <w:bottom w:val="single" w:color="DDD6FE" w:sz="4"/>
              <w:right w:val="none" w:color="FFFFFF" w:sz="0"/>
            </w:tcBorders>
            <w:shd w:fill="F5F3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6"/>
                <w:szCs w:val="16"/>
              </w:rPr>
              <w:t xml:space="preserve">En Investigación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C3AED"/>
                <w:sz w:val="13"/>
                <w:szCs w:val="13"/>
              </w:rPr>
              <w:t xml:space="preserve">Obligatoria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BBF7D0" w:sz="4"/>
              <w:left w:val="single" w:color="BBF7D0" w:sz="8"/>
              <w:bottom w:val="single" w:color="BBF7D0" w:sz="4"/>
              <w:right w:val="none" w:color="FFFFFF" w:sz="0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6"/>
                <w:szCs w:val="16"/>
              </w:rPr>
              <w:t xml:space="preserve">Acciones Correctivas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15803D"/>
                <w:sz w:val="13"/>
                <w:szCs w:val="13"/>
              </w:rPr>
              <w:t xml:space="preserve">CAPA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4A3B8"/>
                <w:sz w:val="16"/>
                <w:szCs w:val="16"/>
              </w:rPr>
              <w:t xml:space="preserve">→</w:t>
            </w:r>
          </w:p>
        </w:tc>
        <w:tc>
          <w:tcPr>
            <w:tcW w:type="dxa" w:w="1200"/>
            <w:tcBorders>
              <w:top w:val="single" w:color="CBD5E1" w:sz="4"/>
              <w:left w:val="single" w:color="CBD5E1" w:sz="8"/>
              <w:bottom w:val="single" w:color="CBD5E1" w:sz="4"/>
              <w:right w:val="none" w:color="FFFFFF" w:sz="0"/>
            </w:tcBorders>
            <w:shd w:fill="F1F5F9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155"/>
                <w:sz w:val="16"/>
                <w:szCs w:val="16"/>
              </w:rPr>
              <w:t xml:space="preserve">Cerrado y Verificado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334155"/>
                <w:sz w:val="13"/>
                <w:szCs w:val="13"/>
              </w:rPr>
              <w:t xml:space="preserve">Con evidencia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Ocurrencia de un incidente laboral: accidente, casi accidente o enfermedad profesional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Expediente cerrado: DELT@ enviado, investigación completada, CAPA verificadas, ERL actualizada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Prevención de Riesgos Laborales (PRL)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Módulos Odoo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helpdesk · quality (si hay maquinaria) · maintenance (si hay avería) · project (RCA)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Obligación legal crítica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Art. 16.3 Ley 31/1995: obligación de investigar + Art. 23.3: notificación DELT@ en plazos legales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"/>
        <w:gridCol w:w="1360"/>
        <w:gridCol w:w="820"/>
        <w:gridCol w:w="960"/>
        <w:gridCol w:w="1080"/>
        <w:gridCol w:w="1100"/>
        <w:gridCol w:w="3678"/>
      </w:tblGrid>
      <w:tr>
        <w:trPr>
          <w:tblHeader/>
        </w:trPr>
        <w:tc>
          <w:tcPr>
            <w:tcW w:type="dxa" w:w="3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Carril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Helpdesk / Sistema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3"/>
                <w:szCs w:val="13"/>
              </w:rPr>
              <w:t xml:space="preserve">Helpdesk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Registrar Incidente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Empleado o PRL crea el ticket con datos básicos: afectado, lugar, hora, tipo provisional y gravedad.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Trabajador /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Ocurrencia del incidente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Datos del trabajador afectado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Descripción inicial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helpdesk.ticket en etapa Nuevo Incidente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Nuevo Incidente · SLA 2h activo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A580C"/>
                <w:sz w:val="13"/>
                <w:szCs w:val="13"/>
              </w:rPr>
              <w:t xml:space="preserve">Helpdesk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Triaje y Clasificación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PRL revisa y clasifica: tipo definitivo, gravedad, si hay maquinaria, si se requieren Calidad y Mantenimiento.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Responsable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Ticket recibido en Helpdesk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helpdesk.ticket abierto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Clasificación definitiva · Decisión de derivar a Calidad/Mantenimiento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Triaje y Clasificación · SLA 4h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3"/>
                <w:szCs w:val="13"/>
              </w:rPr>
              <w:t xml:space="preserve">Helpdesk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Atención Inmediata al Trabajador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Derivar a Mutua, comunicar a familia si aplica, paralizar puesto si hay riesgo grave inminente.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RRHH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Clasificación completada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Ticket clasificado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Contacto Mutua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Atención médica gestionada · Puesto paralizado si procede · Registro en chatter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Atención Inmediata · SLA 8h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3"/>
                <w:szCs w:val="13"/>
              </w:rPr>
              <w:t xml:space="preserve">Helpdesk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Notificación DELT@ (Plazos Legales)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Cumplimentar y enviar el Parte de Accidente vía Sistema DELT@. Registrar número de parte y fecha en el ticket.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RRHH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Atención inmediata gestionada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Datos del accidente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Acceso al sistema DELT@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Parte DELT@ enviado · Número de parte registrado · Resguardo adjunto al ticket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Notificación DELT@ · SLA legal cumplido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3"/>
                <w:szCs w:val="13"/>
              </w:rPr>
              <w:t xml:space="preserve">Calidad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Crear Alerta de Calidad (si hay maquinaria)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Si hay equipo implicado: crear quality.alert vinculada al ticket para investigar defectos.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Equipo Calidad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Triaje indica maquinaria implicada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Equipo / máquina involucrada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Descripción del fallo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quality.alert creada · Vinculada al ticket helpdesk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quality.alert · En Borrador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3"/>
                <w:szCs w:val="13"/>
              </w:rPr>
              <w:t xml:space="preserve">Calidad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Inspección y Causa Raíz del Defecto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Inspector de calidad examina el equipo y determina la causa raíz del fallo técnico.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Técnico Calidad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quality.alert creada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Equipo físico para inspección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Historial de mantenimiento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quality.check completado · root_cause_id identificada · CAPA QA definidas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quality.alert · Acciones Correctivas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Mantenimiento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Crear Solicitud Mantenimiento Correctivo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Si hay avería de equipo: maintenance.request tipo Correctivo con alta prioridad.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Mantenimiento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Triaje indica avería de equipo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Equipo averiado identificado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maintenance.request creada · Vinculada al ticket helpdesk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maintenance.request · Correctivo · Alta prioridad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08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3"/>
                <w:szCs w:val="13"/>
              </w:rPr>
              <w:t xml:space="preserve">Mantenimiento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Reparar Equipo y Verificar Seguridad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Técnico repara el equipo. PRL verifica que es seguro antes de reanudar la actividad.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Técnico Mantenimiento +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maintenance.request asignada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maintenance.request asignada al técnico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Equipo reparado · Verificación seguridad PRL · Autorización reanudación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maintenance.request · Repaired · Verificado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09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3"/>
                <w:szCs w:val="13"/>
              </w:rPr>
              <w:t xml:space="preserve">Investigación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Crear Proyecto de Investigación RCA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Para todo accidente con baja o grave: clonar plantilla de proyecto (5 Porqués o 8D) y vincularlo al ticket.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Responsable PRL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Ticket en etapa En Investigación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proyecto disponible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Datos del accidente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project.project creado · Vinculado al ticket helpdesk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project.project · En progreso · Equipo asignado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10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3"/>
                <w:szCs w:val="13"/>
              </w:rPr>
              <w:t xml:space="preserve">Investigación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Investigación Causa Raíz (5 Porqués / 8D)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Equipo investigador completa las tareas de la metodología elegida hasta identificar la causa raíz.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Equipo investigador (PRL + otros)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Proyecto de investigación activo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Datos del accidente</w:t>
            </w:r>
          </w:p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Testimonios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Evidencias físicas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Causa raíz identificada · Registrada en las tareas del proyecto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Tareas project.task completadas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11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3"/>
                <w:szCs w:val="13"/>
              </w:rPr>
              <w:t xml:space="preserve">Investigación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Definir e Implementar CAPA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Definir Acciones Correctiva y Preventiva con responsable y fecha. Implementarlas y verificar efectividad.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+ Responsables de área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Causa raíz identificada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Causa raíz documentada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CAPA definidas como tareas · Implantadas y verificadas · Lección aprendida documentada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Tareas CAPA verificadas · project.project → Done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12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60"/>
              <w:left w:type="dxa" w:w="30"/>
              <w:bottom w:type="dxa" w:w="60"/>
              <w:right w:type="dxa" w:w="3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155"/>
                <w:sz w:val="13"/>
                <w:szCs w:val="13"/>
              </w:rPr>
              <w:t xml:space="preserve">Helpdesk</w:t>
            </w:r>
          </w:p>
        </w:tc>
        <w:tc>
          <w:tcPr>
            <w:tcW w:type="dxa" w:w="13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Cierre Verificado del Expediente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Ticket se cierra con toda la documentación: DELT@ enviado, investigación completa, CAPA verificadas, ERL actualizada.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PRL / Manager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Todas las CAPA verificadas · Proyecto cerrado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Proyecto de investigación Done</w:t>
            </w:r>
          </w:p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CAPA verificadas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DELT@ confirmado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helpdesk.ticket cerrado con evidencias completas · Expediente disponible para Inspección</w:t>
            </w:r>
          </w:p>
        </w:tc>
        <w:tc>
          <w:tcPr>
            <w:tcW w:type="dxa" w:w="36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Cerrado y Verificado · Expediente archivado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100"/>
        <w:gridCol w:w="2700"/>
        <w:gridCol w:w="44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Alerta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Índice de Frecuencia (IF)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(N.° accidentes × 10⁶) / horas trabajadas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Referencia sector: comparar con estadísticas INSST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Índice de Gravedad (IG)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(Días perdidos × 10³) / horas trabajadas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Seguimiento mensual — reducción progresiva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Tasa de Cumplimiento DELT@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Partes enviados en plazo / Total partes × 100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100% — objetivo legal no negociable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CAPA Verificadas vs. Abiertas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CAPA verificadas / CAPA totales abiertas × 100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90% — indicador de eficacia del proceso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K5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Tiempo Medio de Resolución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Fecha cierre - Fecha apertura (días hábiles)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&lt; 30 días para accidentes con baja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K6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Tasa de Investigaciones Completadas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Incidentes investigados / Incidentes con baja × 100</w:t>
            </w:r>
          </w:p>
        </w:tc>
        <w:tc>
          <w:tcPr>
            <w:tcW w:type="dxa" w:w="44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100% — obligación legal Art. 16.3 Ley 31/1995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helpdesk (Asistencia)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 del flujo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helpdesk.ticket (Ticket de Incidente)   ·   helpdesk.team (Equipo PRL)   ·   helpdesk.sla (Política SLA)   ·   helpdesk.stage (Etapa Pipeline)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quality (Calidad)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Investigación de maquinaria y defectos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quality.alert (Alerta de Calidad)   ·   quality.check (Verificación de Calidad)   ·   quality.alert.type (Tipo de Alerta)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maintenance (Mantenimiento)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Reparación de equipos implicados en incidentes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maintenance.request (Solicitud de Mantenimiento)   ·   maintenance.equipment (Equipo)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project (Proyecto)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Investigación causa raíz estructurada (RCA)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project.project (Proyecto de Investigación)   ·   project.task (Tareas 5 Porqués / 8D / CAPA)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 (Empleados)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Datos del trabajador afectado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(Empleado afectado)   ·   hr.department (Departamento)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 de configuración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verificación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Equipo Helpdesk Incidentes Laborales PRL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Asistencia → Equipos → Nuevo. Activar SLAs, timesheets. Configurar alias de email para notificaciones.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las 7 Etapas del Pipeline de Incidentes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Nuevo Incidente → Triaje → Atención → DELT@ → En Investigación → Acciones Correctivas → Cerrado.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Configurar SLAs según Plazos Legales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SLA grave/mortal: DELT@ en 24h. SLA con baja: DELT@ en 5 días hábiles. SLA apertura: Triaje en 2h.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Plantillas de Proyecto de Investigación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Plantilla 5 Porqués (6 tareas) y plantilla 8D (8 tareas). Clonar al activar investigación.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Configurar Tipos de Alerta de Calidad para Incidentes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Calidad → Tipos de Alerta: crear tipo Fallo de Equipo — Incidente Laboral con causas raíz predefinidas.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Vincular Helpdesk con Calidad y Mantenimiento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Studio o desarrollo: botones en el ticket para crear quality.alert y maintenance.request con trazabilidad bidireccional.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España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8"/>
                <w:szCs w:val="18"/>
              </w:rPr>
              <w:t xml:space="preserve">La no investigación de accidentes y la omisión de la notificación DELT@ son infracciones graves sancionables con multas de hasta 40.985 €. El incumplimiento de la notificación en 24 horas de un accidente grave o mortal puede derivar en paralización de la actividad y responsabilidad penal del empresario.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700"/>
        <w:gridCol w:w="6238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Norma · Referencia BOE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Requisitos Clave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Impacto en Configuración Odoo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· BOE-A-1995-24292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16.3 — Investigación obligatoria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Obligatorio investigar cuando haya daño a la salud de los trabajadores · También si las medidas preventivas parecen insuficientes · Proporcional a la gravedad · No investigar: infracción grave (hasta 40.985 €)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Etapa En Investigación en el pipeline · Plantillas de proyecto 5 Porqués y 8D · KPI de 100% investigaciones completadas para accidentes con baja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· BOE-A-1995-24292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23.3 — Notificación a autoridad laboral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Notificación obligatoria vía DELT@ · Grave/Mortal: 24 horas + autoridad laboral · Con baja: 5 días hábiles · Sin baja: día 5 del mes siguiente · Leve sin cumplir plazo: infracción leve (hasta 2.045 €)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SLAs de Helpdesk configurados con los plazos legales · Etapa Notificación DELT@ como punto de control crítico · KPI de 100% cumplimiento DELT@ como indicador legal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· BOE-A-1995-24292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23.1.e — Registro y archivo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Conservar relación de accidentes con baja &gt; 1 día · Registrar y archivar datos de investigaciones · Disponibles para Inspección de Trabajo · No registrar: infracción grave (hasta 40.985 €)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Toda la documentación centralizada en el ticket Helpdesk y el proyecto de investigación · Disponible para auditoría desde Odoo sin búsqueda manual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39/1997 · BOE-A-1997-1853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Servicio de Prevención — Investigación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Servicio de Prevención debe participar en la investigación · Conclusiones a la planificación preventiva · Revisar ERL si el accidente evidencia su insuficiencia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Responsable PRL como líder del proyecto de investigación · CAPA incluye actualización de la Evaluación de Riesgos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Orden TAS/2926/2002 · BOE-A-2002-22650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Sistema DELT@ — Notificación Electrónica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Notificación exclusivamente por vía electrónica · Parte validado por la Mutua · Accesible en www.delta.mtin.es · Se puede delegar en gestoría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Etapa Notificación DELT@ como control crítico · Registro del número de parte y fecha de envío en el ticket · El SLA del ticket alerta antes de que venzan los plazos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LISOS RDL 5/2000 · BOE-A-2000-15060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Arts. 12.3 y 12.4 — Infracciones Graves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No investigar: infracción grave (2.046–40.985 €) · No registrar datos: infracción grave · No notificar grave/mortal en plazo: infracción grave · No notificar leve en plazo: infracción leve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El cumplimiento de los SLAs y el cierre completo del proyecto de investigación son la evidencia ante la Inspección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7C3AED"/>
                <w:sz w:val="15"/>
                <w:szCs w:val="15"/>
              </w:rPr>
              <w:t xml:space="preserve">Fuente: BOE (www.boe.es) · Ley 31/1995: BOE-A-1995-24292 · RD 39/1997: BOE-A-1997-1853 · Orden TAS/2926/2002: BOE-A-2002-22650 · LISOS: BOE-A-2000-15060 · INSST: www.insst.es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El convenio colectivo sectorial puede establecer obligaciones adicionales de notificación e investigación. Consultar con el Servicio de Prevención y asesoría legal para los requisitos específicos de cada empresa y sector.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PR-PRL-002  ·  Gestión de Incidentes Laborales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2026-04-05T14:51:50.868Z</dcterms:created>
  <dcterms:modified xsi:type="dcterms:W3CDTF">2026-04-05T14:51:50.870Z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