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8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E2D3D"/>
          <w:sz w:val="52"/>
          <w:szCs w:val="52"/>
        </w:rPr>
        <w:t xml:space="preserve">Gestión de Equipos de
Protección Individual (EPI)</w:t>
      </w:r>
    </w:p>
    <w:p>
      <w:pPr>
        <w:spacing w:after="80"/>
      </w:pPr>
      <w:r>
        <w:rPr>
          <w:rFonts w:ascii="Calibri" w:cs="Calibri" w:eastAsia="Calibri" w:hAnsi="Calibri"/>
          <w:color w:val="718096"/>
          <w:sz w:val="20"/>
          <w:szCs w:val="20"/>
        </w:rPr>
        <w:t xml:space="preserve">Proceso Normalizado de Trabajo  ·  Módulos stock · purchase · approvals · Studio  ·  Odoo 19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18"/>
          <w:szCs w:val="18"/>
        </w:rPr>
        <w:t xml:space="preserve">PR-PRL-001</w:t>
      </w:r>
      <w:r>
        <w:rPr>
          <w:rFonts w:ascii="Calibri" w:cs="Calibri" w:eastAsia="Calibri" w:hAnsi="Calibri"/>
          <w:color w:val="718096"/>
          <w:sz w:val="18"/>
          <w:szCs w:val="18"/>
        </w:rPr>
        <w:t xml:space="preserve">   ·   Versión 1.0   ·   05 de abril de 2026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D1D9E0" w:sz="4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4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Control de la Información Documentada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Nombre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Gestión de Equipos de Protección Individual — Solicitud, Entrega, Control de Inventario, Vencimiento y Baja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Código / Referencia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PR-PRL-001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Versión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v1.0  —  Módulos stock · purchase · approvals · Studio  ·  Odoo 19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Fecha de emisión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05 de abril de 2026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Autor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Departamento de Transformación Digital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Aprobación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Responsable de Prevención de Riesgos Laborales (PRL)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del Proceso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"/>
        <w:gridCol w:w="9588"/>
      </w:tblGrid>
      <w:tr>
        <w:tc>
          <w:tcPr>
            <w:tcW w:type="dxa" w:w="50"/>
            <w:tcBorders>
              <w:top w:val="none" w:color="FFFFFF" w:sz="0"/>
              <w:left w:val="single" w:color="006F3F" w:sz="18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88"/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0F7F3" w:val="clear"/>
            <w:tcMar>
              <w:top w:type="dxa" w:w="140"/>
              <w:left w:type="dxa" w:w="200"/>
              <w:bottom w:type="dxa" w:w="140"/>
              <w:right w:type="dxa" w:w="18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7"/>
                <w:szCs w:val="17"/>
              </w:rPr>
              <w:t xml:space="preserve">Propósito del proceso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Gestionar de forma integral el ciclo de vida de los Equipos de Protección Individual: desde la compra y recepción en el almacén EPI hasta la solicitud del empleado, la entrega con firma del receptor, el control de inventario con reabastecimiento automático, el seguimiento de fechas de caducidad y vida útil con alertas automáticas, y la baja de EPIs deteriorados o fuera de uso. La solución combina Inventario (stock), Compras (purchase) y Aprobaciones mediante una vinculación personalizada en Odoo Studio.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"/>
        <w:gridCol w:w="9588"/>
      </w:tblGrid>
      <w:tr>
        <w:tc>
          <w:tcPr>
            <w:tcW w:type="dxa" w:w="50"/>
            <w:tcBorders>
              <w:top w:val="none" w:color="FFFFFF" w:sz="0"/>
              <w:left w:val="single" w:color="D97706" w:sz="18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88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140"/>
              <w:left w:type="dxa" w:w="200"/>
              <w:bottom w:type="dxa" w:w="140"/>
              <w:right w:type="dxa" w:w="18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7"/>
                <w:szCs w:val="17"/>
              </w:rPr>
              <w:t xml:space="preserve">Vinculación Aprobaciones — Inventario (Odoo Studio requerido)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8350F"/>
                <w:sz w:val="17"/>
                <w:szCs w:val="17"/>
              </w:rPr>
              <w:t xml:space="preserve">Odoo no vincula de forma nativa el módulo de Aprobaciones con Inventario. La integración se implementa con Odoo Studio: (1) Añadir campo picking_id (Many2one a stock.picking) en hr.approval.request. (2) Crear Acción Automatizada: Modelo = hr.approval.request · Disparador = Al actualizar · Filtro = request_status = approved · Acción = Crear stock.picking tipo Entrega EPI con los EPIs y cantidades de la solicitud. Requiere licencia Enterprise con Studio habilitado.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Inicio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Necesidad de EPI: nueva incorporación, deterioro, caducidad, recambio o cambio de puesto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Fin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EPI entregado con firma del receptor, registrado en EPI Entregados con fechas activas para alertas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Dueño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Responsable de Prevención de Riesgos Laborales (PRL)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Módulos Odoo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stock (Inventario) · purchase (Compras) · approvals (Aprobaciones) · Studio (vinculación)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Obligación legal crítica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RD 773/1997: registro documentado con firma del receptor de TODOS los EPIs entregados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Particularidad arquitectónica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Ubicación virtual EPI Entregados para trazabilidad + Studio para vincular Aprobaciones con stock.picking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Secuencia de Actividades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"/>
        <w:gridCol w:w="1360"/>
        <w:gridCol w:w="820"/>
        <w:gridCol w:w="960"/>
        <w:gridCol w:w="1080"/>
        <w:gridCol w:w="1100"/>
        <w:gridCol w:w="3678"/>
      </w:tblGrid>
      <w:tr>
        <w:trPr>
          <w:tblHeader/>
        </w:trPr>
        <w:tc>
          <w:tcPr>
            <w:tcW w:type="dxa" w:w="36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N°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Carril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Actividad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Responsable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Condición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Entradas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Salidas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Estado Odoo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01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3"/>
                <w:szCs w:val="13"/>
              </w:rPr>
              <w:t xml:space="preserve">Stock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Configurar Almacén EPI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Activar ubicaciones y rutas. Crear WH/EPI, Virtual/EPI Entregados y tipo op. Entrega EPI.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Admin / PRL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Ninguna — configuración inicial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Acceso Inventario · Ajustes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WH/EPI · Tipo op. Entrega EPI · Lotes y caducidad activados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Configuración completada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02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3"/>
                <w:szCs w:val="13"/>
              </w:rPr>
              <w:t xml:space="preserve">Stock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Pedido de Compra de EPIs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Crear pedido de compra. Al confirmar, Odoo genera la recepción pendiente automáticamente.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Compras / PRL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Necesidad de stock EPI identificada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Catálogo EPI · Proveedor configurado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purchase.order confirmado · Recepción pendiente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draft → purchase → done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03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3"/>
                <w:szCs w:val="13"/>
              </w:rPr>
              <w:t xml:space="preserve">Stock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Recepción EPIs + Lote y Caducidad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Asignar lote/serie y fecha de caducidad del fabricante. Validar para ingresar en WH/EPI.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Almacén / PRL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Pedido confirmado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EPIs físicos recibidos · Albarán proveedor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stock.lot · stock.quant en WH/EPI · Trazabilidad completa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stock.picking done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04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3"/>
                <w:szCs w:val="13"/>
              </w:rPr>
              <w:t xml:space="preserve">Stock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Reabastecimiento Automático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Planificador diario detecta stock bajo mínimo y genera Solicitud de Cotización automática.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Sistema (planificador)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stock &lt; cantidad mínima configurada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Regla reabastecimiento mín/máx configurada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Solicitud de Cotización generada al proveedor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orderpoint triggered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05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3"/>
                <w:szCs w:val="13"/>
              </w:rPr>
              <w:t xml:space="preserve">Solicitud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Solicitar EPIs — Borrador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Empleado crea solicitud tipo Solicitud de EPI con EPIs, talla y motivo.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Necesidad de EPI identificada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Acceso módulo Aprobaciones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hr.approval.request borrador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draft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06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3"/>
                <w:szCs w:val="13"/>
              </w:rPr>
              <w:t xml:space="preserve">Solicitud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Enviar Solicitud al Manager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Estado pasa a Pendiente. Manager recibe notificación automática por email.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Solicitud completada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hr.approval.request borrador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Solicitud pendiente · Notificación al manager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pending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07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3"/>
                <w:szCs w:val="13"/>
              </w:rPr>
              <w:t xml:space="preserve">Solicitud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Aprobación Manager (1.er Nivel)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Manager revisa EPIs y justificación. Aprueba o rechaza.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 directo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Solicitud pendiente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hr.approval.request pendiente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Aprobada → pasa a PRL · Rechazada → empleado notificado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approved / refused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08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3"/>
                <w:szCs w:val="13"/>
              </w:rPr>
              <w:t xml:space="preserve">Solicitud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Aprobación PRL / RRHH (2.° Nivel)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PRL valida que los EPIs son adecuados para el puesto. Aprobación definitiva.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Responsable PRL / RRHH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Aprobada por manager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hr.approval.request aprobada manager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state = approved · Acción Studio se dispara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approved (todos los niveles)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09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3"/>
                <w:szCs w:val="13"/>
              </w:rPr>
              <w:t xml:space="preserve">Studio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7"/>
                <w:szCs w:val="17"/>
              </w:rPr>
              <w:t xml:space="preserve">Generar Orden de Entrega (Studio)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Acción Automatizada crea stock.picking tipo Entrega EPI con los EPIs de la solicitud.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Sistema / Studio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state = approved en solicitud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hr.approval.request aprobada · Acción automatizada activa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stock.picking Entrega EPI creado · picking_id vinculado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stock.picking ready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10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3"/>
                <w:szCs w:val="13"/>
              </w:rPr>
              <w:t xml:space="preserve">Entrega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Preparar Entrega — Seleccionar Lote (FEFO)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Almacenero prepara entrega seleccionando lotes por fecha de caducidad más próxima.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Almacén / PRL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stock.picking ready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stock.picking · Lotes en WH/EPI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Líneas asignadas con lote FEFO · Preparado para empaquetar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ready → in_progress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11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3"/>
                <w:szCs w:val="13"/>
              </w:rPr>
              <w:t xml:space="preserve">Entrega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Empaquetar EPIs (Put in Pack)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Agrupar todos los EPIs del empleado en un paquete único identificado.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Almacén / PRL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EPIs preparados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Todos los EPIs de la entrega listos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stock.quant.package · Código único · Etiqueta imprimible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package created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12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3"/>
                <w:szCs w:val="13"/>
              </w:rPr>
              <w:t xml:space="preserve">Entrega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7"/>
                <w:szCs w:val="17"/>
              </w:rPr>
              <w:t xml:space="preserve">Firma Digital del Receptor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El empleado firma el albarán como acuse de recibo legal del EPI.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 receptor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Paquete listo para entregar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stock.picking · Dispositivo táctil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Firma capturada · PDF albarán con firma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signature captured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13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3"/>
                <w:szCs w:val="13"/>
              </w:rPr>
              <w:t xml:space="preserve">Entrega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Validar Entrega — Mover a EPI Entregados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Validar picking. EPIs se mueven de WH/EPI a EPI Entregados. Trazabilidad completa.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Almacén / PRL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Firma obtenida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stock.picking con firma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state = done · stock.quant en EPI Entregados · Albarán listo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done · EPI Entregados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14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0342C"/>
                <w:sz w:val="13"/>
                <w:szCs w:val="13"/>
              </w:rPr>
              <w:t xml:space="preserve">Alertas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Alerta de Caducidad de Lote (expiration_date)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Acción diaria detecta lotes con caducidad &lt; 30 días y genera actividad al responsable PRL.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Sistema (acción automática)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expiration_date próxima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stock.lot con fechas · Acción programada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mail.activity al responsable PRL · Email alerta (opcional)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alert_date superada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15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0342C"/>
                <w:sz w:val="13"/>
                <w:szCs w:val="13"/>
              </w:rPr>
              <w:t xml:space="preserve">Alertas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Alerta de Vida Útil Vencida (removal_date)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Acción automática detecta lotes con removal_date superada. Inicia recambio.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Sistema (acción automática)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removal_date &lt; fecha actual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stock.lot con removal_date · Acción programada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mail.activity recambio obligatorio · Email a empleado y PRL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removal_date exceeded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16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0342C"/>
                <w:sz w:val="13"/>
                <w:szCs w:val="13"/>
              </w:rPr>
              <w:t xml:space="preserve">Alertas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Devolución de EPI Deteriorado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Return picking desde entrega original. EPI vuelve a WH/EPI para inspección.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 / PRL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EPI deteriorado/caducado/vida útil vencida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Orden de entrega original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Return picking validado · EPI en WH/EPI para inspección o scrap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return done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17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0342C"/>
                <w:sz w:val="13"/>
                <w:szCs w:val="13"/>
              </w:rPr>
              <w:t xml:space="preserve">Alertas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Dar de Baja EPI — Enviar a Virtual/Scrap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EPI inservible enviado a Virtual/Scrap con motivo. Stock reducido, valoración ajustada.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PRL / Almacén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EPI inservible confirmado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EPI en WH/EPI tras devolución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stock.scrap done · Stock reducido · Registro de baja con motivo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stock.scrap done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Indicadores de Control (KPIs)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"/>
        <w:gridCol w:w="2100"/>
        <w:gridCol w:w="2700"/>
        <w:gridCol w:w="4498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KPI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Indicador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Fórmula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Meta / Alerta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K1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EPIs Caducados en Uso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stock.lot con expiration_date &lt; hoy en EPI Entregados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= 0 — ningún EPI caducado en uso (obligación legal)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K2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Entregas con Firma del Receptor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Entregas con firma / Total entregas × 100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= 100% — exigido por RD 773/1997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K3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Tiempo Medio de Entrega EPI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Fecha validación - Fecha aprobación solicitud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&lt; 2 días hábiles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K4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Solicitudes Aprobadas vs. Total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Aprobadas / Total solicitudes × 100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&gt; 95% — proceso eficiente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K5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EPIs con Vida Útil Vencida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stock.lot con removal_date &lt; hoy en EPI Entregados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= 0 — recambio planificado a tiempo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K6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Cobertura de Stock EPI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Días de stock / Consumo medio diario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&gt; 30 días de cobertura mínima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 Datos y Módulos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Módulo / App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Modelos de datos asociados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stock (Inventario)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Módulo principal del flujo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stock.picking   ·   stock.lot   ·   stock.quant   ·   stock.quant.package   ·   stock.scrap   ·   stock.warehouse.orderpoint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purchase (Compras)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Reabastecimiento EPI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purchase.order   ·   res.partner (Proveedor)   ·   product.supplierinfo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approvals (Aprobaciones)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Solicitudes EPI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hr.approval.request   ·   hr.approval.category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D97706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Studio (vinculación)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Integración Aprobaciones ↔ Inventario — requiere Enterprise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picking_id Many2one en hr.approval.request   ·   ir.actions.server (Acción automatizada)   ·   Campo firma en stock.picking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mail / calendar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Comunicación y alertas automáticas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mail.activity   ·   mail.template   ·   ir.actions.server (Acción programada)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Lista de Verificación de Configuración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2400"/>
        <w:gridCol w:w="6858"/>
      </w:tblGrid>
      <w:t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Ref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Elemento de configuración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Criterio de verificación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C1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Activar Ubicaciones de Almacenamiento y Rutas Múltiples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Inventario → Ajustes → Warehouse: activar ambas opciones antes de crear ubicaciones EPI.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Activar Trazabilidad por Lote y Fechas de Vencimiento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Inventario → Ajustes → Trazabilidad: activar Números de Lote y Serie + Fechas de Vencimiento.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Crear Ubicaciones EPI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WH/EPI (Interna) + Virtual/EPI Entregados (Interna). Configurar estrategia FEFO en WH/EPI.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Crear Tipo de Operación Entrega EPI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Origen: WH/EPI · Destino: EPI Entregados · Activar: Usar lotes + Activar paquetes.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C5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Crear Tipo de Aprobación Solicitud de EPI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Aprobaciones → Tipos: campos EPI, talla, motivo. Dos aprobadores: manager + PRL/RRHH.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C6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Studio: campo picking_id + Acción Automatizada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Campo Many2one picking_id en hr.approval.request. Acción automatizada on approve crea stock.picking.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C7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Firma en stock.picking (Studio o módulo)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Habilitar firma en tipo de operación Entrega EPI o añadir campo firma con Studio.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7C3AED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Marco Regulatorio — España (BOE)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"/>
        <w:gridCol w:w="9578"/>
      </w:tblGrid>
      <w:tr>
        <w:tc>
          <w:tcPr>
            <w:tcW w:type="dxa" w:w="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130"/>
              <w:left w:type="dxa" w:w="180"/>
              <w:bottom w:type="dxa" w:w="130"/>
              <w:right w:type="dxa" w:w="1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8"/>
                <w:szCs w:val="18"/>
              </w:rPr>
              <w:t xml:space="preserve">El incumplimiento en materia de EPI puede suponer sanciones de hasta 819.780 € por infracción muy grave (LISOS). El registro de entregas con firma del receptor y las alertas de caducidad en Odoo son la principal evidencia de cumplimiento ante una Inspección de Trabajo.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700"/>
        <w:gridCol w:w="6238"/>
      </w:tblGrid>
      <w:tr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Norma · Referencia BOE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Requisitos Clave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Impacto en Configuración Odoo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RD 773/1997 · BOE-A-1997-8670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Disposiciones mínimas EPIs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Suministro gratuito de EPIs adecuados al riesgo · EPIs con marcado CE · Formación en uso · Inventario actualizado de EPIs entregados · Registro escrito de entregas con firma del receptor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Catálogo EPI en Inventario · Firma digital en stock.picking · Informe trazabilidad EPIs por empleado · Alertas caducidad y vida útil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Ley 31/1995 · BOE-A-1995-24292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Arts. 17 y 23 — Suministro y Documentación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Art. 17: suministro gratuito para riesgos no evitables · Art. 23: registro documentado de todas las entregas con fecha y firma del trabajador · Art. 29: obligación del trabajador de usar correctamente los EPIs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Firma digital en el albarán equivale a la firma del Art. 23 · Registro disponible para Inspección de Trabajo · KPI: 100% entregas con firma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RD 1407/1992 · BOE-A-1992-24952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Marcado CE — Certificación EPIs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Todo EPI debe tener marcado CE válido · EPIs Cat. III requieren organismo notificado · CE caducado: baja obligatoria · Instrucciones de uso en español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Registrar norma CE en ficha del producto EPI · Gestionar vencimiento CE mediante fechas del lote · Baja vía stock.scrap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RD 39/1997 · BOE-A-1997-1853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Elección EPIs según Evaluación de Riesgos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La elección de EPIs debe basarse en la Evaluación de Riesgos · El técnico PRL valida los EPIs adecuados a cada riesgo · Planificación preventiva incluye renovación periódica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Categorizar EPIs por tipo de riesgo · PRL como segundo nivel obligatorio de aprobación en la solicitud de EPI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LISOS · BOE-A-2000-15060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Infracciones y Sanciones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No facilitar EPIs: grave (2.046–40.985 €) · EPIs sin CE: muy grave (hasta 819.780 €) · Falta documentación: grave · Sanciones multiplicadas por trabajadores afectados · Paralización actividad si riesgo grave e inminente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El registro con firma en Odoo + alertas de caducidad son la evidencia principal ante Inspección · KPI de 0 EPIs caducados en uso es el indicador crítico de cumplimiento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"/>
        <w:gridCol w:w="9578"/>
      </w:tblGrid>
      <w:tr>
        <w:tc>
          <w:tcPr>
            <w:tcW w:type="dxa" w:w="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7C3AED"/>
                <w:sz w:val="15"/>
                <w:szCs w:val="15"/>
              </w:rPr>
              <w:t xml:space="preserve">Fuente: Boletín Oficial del Estado (www.boe.es) · RD 773/1997: BOE-A-1997-8670 · Ley 31/1995: BOE-A-1995-24292 · RD 1407/1992: BOE-A-1992-24952 · RD 39/1997: BOE-A-1997-1853 · LISOS: BOE-A-2000-15060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Las sanciones corresponden a la escala LISOS actual. El convenio colectivo sectorial puede establecer obligaciones adicionales en materia de EPIs. Consultar con técnico PRL antes de definir el catálogo de EPIs por puesto.</w:t>
            </w:r>
          </w:p>
        </w:tc>
      </w:tr>
    </w:tbl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2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9E0" w:sz="4" w:space="4"/>
      </w:pBdr>
      <w:tabs>
        <w:tab w:val="right" w:pos="9026"/>
      </w:tabs>
      <w:spacing w:after="0" w:before="100"/>
    </w:pPr>
    <w:r>
      <w:rPr>
        <w:rFonts w:ascii="Calibri" w:cs="Calibri" w:eastAsia="Calibri" w:hAnsi="Calibri"/>
        <w:color w:val="718096"/>
        <w:sz w:val="15"/>
        <w:szCs w:val="15"/>
      </w:rPr>
      <w:t xml:space="preserve">Osonu  ·  SGC  ·  v1.0  ·  Abril 2026</w:t>
    </w:r>
    <w:r>
      <w:rPr>
        <w:rFonts w:ascii="Calibri" w:cs="Calibri" w:eastAsia="Calibri" w:hAnsi="Calibri"/>
        <w:sz w:val="15"/>
        <w:szCs w:val="15"/>
      </w:rPr>
      <w:t xml:space="preserve">	</w:t>
    </w:r>
    <w:r>
      <w:rPr>
        <w:rFonts w:ascii="Calibri" w:cs="Calibri" w:eastAsia="Calibri" w:hAnsi="Calibri"/>
        <w:color w:val="718096"/>
        <w:sz w:val="15"/>
        <w:szCs w:val="15"/>
      </w:rPr>
      <w:t xml:space="preserve">Página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18096"/>
        <w:sz w:val="15"/>
        <w:szCs w:val="15"/>
      </w:rPr>
      <w:t xml:space="preserve"> /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F3F" w:sz="6" w:space="4"/>
      </w:pBdr>
      <w:spacing w:after="0"/>
    </w:pPr>
    <w:r>
      <w:drawing>
        <wp:inline distT="0" distB="0" distL="0" distR="0">
          <wp:extent cx="1028700" cy="333375"/>
          <wp:effectExtent t="0" r="0" b="0" l="0"/>
          <wp:docPr id="1" name="logo" descr="Osonu" title="Oso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718096"/>
        <w:sz w:val="16"/>
        <w:szCs w:val="16"/>
      </w:rPr>
      <w:t xml:space="preserve">     Proceso Normalizado  ·  PR-PRL-001  ·  Gestión de Equipos de Protección Individual (EPI)</w:t>
    </w:r>
  </w:p>
  <w:p>
    <w:pPr>
      <w:spacing w:after="200"/>
    </w:pPr>
    <w:r>
      <w:rPr>
        <w:rFonts w:ascii="Calibri" w:cs="Calibri" w:eastAsia="Calibri" w:hAnsi="Calibri"/>
        <w:sz w:val="20"/>
        <w:szCs w:val="20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9fa07bf3aadf0503eff3429fc4437f211fd39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2026-04-05T10:19:26.929Z</dcterms:created>
  <dcterms:modified xsi:type="dcterms:W3CDTF">2026-04-05T10:19:26.930Z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