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Gestión de Turnos
y Planificación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 Planning (Enterprise)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PR-OP-001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04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Gestión de Turnos, Planificación y Publicación de Cuadrantes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PR-OP-001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Módulo Planning · Odoo 19 Enterprise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04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Dirección de Operaciones + Dirección de RRHH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Estandarizar la creación, publicación, comunicación y modificación de los cuadros de turno del personal. Garantiza la cobertura operativa, el respeto a la regulación laboral española y la comunicación efectiva a cada empleado de sus horarios planificados, minimizando errores manuales y conflictos con ausencias o festivos.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Definición de los roles y recursos necesarios para el período de planificación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Turnos publicados, empleados notificados y entradas de trabajo generadas en nómina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Manager de equipo / Responsable de Operaciones / RRHH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Fuentes de entrada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Necesidades operativas, contratos de empleados, ausencias aprobadas, festivos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Receptores / Salidas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Empleados (notificación de turno), Nómina (entradas de trabajo), Dirección (reporting)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Módulo requerido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Planning — disponible exclusivamente en licencia Odoo Enterprise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500"/>
        <w:gridCol w:w="820"/>
        <w:gridCol w:w="1000"/>
        <w:gridCol w:w="1200"/>
        <w:gridCol w:w="1100"/>
        <w:gridCol w:w="1100"/>
        <w:gridCol w:w="2538"/>
      </w:tblGrid>
      <w:tr>
        <w:trPr>
          <w:tblHeader/>
        </w:trP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Actividad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Estado Odoo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Herramientas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Configurar Roles y Plantillas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Definir los planning.role y las plantillas de turno reutilizables. Asignar roles a cada empleado.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Inicio del proyecto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Organigrama de roles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Calendarios de trabajo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planning.role creados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Plantillas de turno configuradas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(Configuración)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Planificación → Config.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Crear Turno (Borrador)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Crear planning.slot en vista Gantt asignando recurso, rol y horario. El turno aparece con rayas diagonales.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Roles y plantillas configurados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 de turno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Disponibilidad del empleado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planning.slot en borrador (rayas)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 (rayas)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Vista Gantt — Planificación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Auto Plan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Asignar automáticamente turnos abiertos según disponibilidad, roles y ausencias. Respeta límites del contrato.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/ 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Existen turnos sin recurso asignado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Roles de empleados</w:t>
            </w:r>
          </w:p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Ausencias aprobadas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Horario del contrato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Turnos abiertos asignados automáticamente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draft → asignado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Botón Auto Plan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Publicar Cuadrante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Publicar el período planificado. Odoo envía email a cada empleado con sus turnos. Las rayas cambian a color sólido.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Turnos revisados y validados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planning.slot en borrador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Turnos publicados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Email enviado al empleado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borrador → publicado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Botón Publicar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Modificar Turno Publicado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Editar un turno ya publicado. Aparece triángulo naranja. El empleado no ve el cambio hasta republicar.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Cambio urgente o imprevisto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 publicado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planning.slot con indicador naranja (modificado)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publicado → modificado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Vista Gantt · Triángulo ▲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Republicar con Re-notificación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Republicar el cuadrante modificado. Odoo notifica solo a los empleados afectados. Cumple el deber de comunicación del Art. 36/41 ET.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Turnos modificados pendientes de comunicar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Turnos con indicador naranja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Empleados notificados por email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Triángulo naranja desaparece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modificado → publicado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Botón Publicar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07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Gestionar Turno Abierto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Turno sin recurso asignado visible en el portal. El empleado lo reclama voluntariamente ("I take it"). Cumple principio de voluntariedad (Art. 35 ET).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 abierto publicado con rol coincidente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 abierto visible en portal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 asignado al empleado que reclama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open → asignado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Portal My Planning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08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Integración con Nómina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Los turnos publicados generan hr.work.entry que el módulo de nómina procesa para calcular salarios, nocturnidad y festivos.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automático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Turnos publicados y validados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planning.slot publicados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work entry types configurados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hr.work.entry generados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Nómina calculada correctamente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(automático)</w:t>
            </w:r>
          </w:p>
        </w:tc>
        <w:tc>
          <w:tcPr>
            <w:tcW w:type="dxa" w:w="25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Módulo hr_payroll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400"/>
        <w:gridCol w:w="2900"/>
        <w:gridCol w:w="39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 / Fuente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 / Alerta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Ocupación por empleado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Horas turno asignadas / Horas contrato × 100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80–100% (evitar sobre o subocupación)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Turnos abiertos sin cubrir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Turnos sin resource_id / Total turnos publicados × 100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&lt; 5% al cierre del período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Horas nocturnas por empleado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SUM(horas entre 22:00–06:00) / período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Alerta si supera 8 h/día en promedio 15 días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Cumplimiento de descanso entre turnos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Turnos con &lt; 12 h de descanso previo / total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= 0 (incumplimiento legal Art. 34 ET)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planning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Módulo principal (Enterprise)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planning.slot   ·   planning.role   ·   planning.shift.template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Recursos Humanos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hr.employee   ·   resource.resource   ·   resource.calendar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hr_holidays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Ausencias (integración)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hr.leave   ·   hr.leave.type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hr_payroll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Nómina (integración)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hr.work.entry   ·   hr.work.entry.type   ·   hr.payslip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project / sale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Proyectos y Ventas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project.task   ·   sale.order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 de configuración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Roles de Planificación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planning.role y asignar a empleados con rol principal y roles adicionales.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Calendarios de Trabajo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Verificar resource.calendar de cada empleado. Auto Plan los usa para calcular disponibilidad.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Plantillas de Turno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plantillas para turnos habituales. Verificar que respetan máx. 9 h/día (Art. 34 ET).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Integración con Ausencias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Activar hr_holidays en Planning para bloqueo automático de turnos en días de baja.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Tipos de Entradas de Trabajo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Configurar work entry types para turno normal, nocturno y festivo (recargo en nómina).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Registro de Jornada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Integrar hr_attendance para cumplir el Art. 34.9 ET (registro diario obligatorio).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7C3AED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Marco Regulatorio — España (BOE)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8"/>
                <w:szCs w:val="18"/>
              </w:rPr>
              <w:t xml:space="preserve">Normativa de aplicación nacional para la gestión de turnos, jornada y descansos en España. La tabla siguiente resume los requisitos específicos que afectan directamente a la configuración del flujo de planificación en Odoo y a la operativa diaria. El convenio colectivo sectorial puede establecer condiciones más favorables que las aquí indicadas.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6038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Norma · Referencia BOE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Artículo / Requisitos clave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Impacto en configuración Odoo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34 — Jornada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Máx. 40 h/semana · Máx. 9 h/día · Descanso 12 h entre jornadas · Pausa 15 min (&gt;6 h) · Preaviso 5 días distribución irregular · Registro diario 4 años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Validar plantillas de turno contra límites diarios · Activar hr_attendance para registro · No publicar con menos de 5 días de antelación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35 — Horas Extraordinarias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Máx. 80 h extra/año · Voluntarias salvo convenio · Compensación ≥ hora ordinaria o descanso en 4 meses · Prohibidas para nocturnos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Work entry type "Hora Extra" separado del ordinario · Control en reporting de Planning · Alerta de superación del límite anual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36 — Turnos y Trabajo Nocturno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Nocturno = 22:00–06:00 · Máx. 8 h/día promedio 15 días · Sin horas extra · Retribución específica · Rotación: máx. 2 semanas nocturnas consecutivas · Evaluación de salud gratuita · Preaviso cambio cuadrante: 15 días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Work entry type "Turno Nocturno" con recargo · Alerta si &gt;2 semanas nocturnas consecutivas · Publicar cambios con ≥15 días de antelación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37 — Descanso Semanal y Festivos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Descanso mínimo 1,5 días/semana (acumulable 14 días) · 14 festivos retribuidos/año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Registrar festivos en resource.calendar.leaves · Work entry type "Festivo trabajado" · Auto Plan respeta festivos automáticamente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41 — Modificación Sustancial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Cambio de turno fijo = modificación sustancial · Preaviso escrito 15 días · Derecho a rescisión con indemnización · Modificaciones colectivas: consultas 15 días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Republicar cuadrante con ≥15 días de antelación · Documentar cambios en chatter del slot · Email automático de re-notificación al republicar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 1561/1995 · BOE-A-1995-21346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Jornadas Especiales por Sector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Hostelería, transporte, comercio, sanidad: permite descansos alternativos a 12 h entre jornadas (acumulable 4 semanas) · Requiere negociación colectiva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Configurar calendarios especiales según convenio · Verificar aplicabilidad antes de crear plantillas con jornadas que incumplan los límites generales del ET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Ley 31/1995 · BOE-A-1995-24292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PRL — Prevención Riesgos Laborales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Evaluación de riesgos para nocturnos y turnos · Vigilancia de salud gratuita periódica · Formación e información sobre riesgos del turno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Documentar tipo de turno en ficha del empleado · Integrar con módulo de documentación PRL · Registrar reconocimientos médicos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RD-ley 8/2019 · BOE-A-2019-3244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34.9 ET — Registro de Jornada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Registro diario obligatorio (inicio y fin exactos) · Aplica a todos · Sistema fiable e inmodificable · Conservar 4 años · Sanción hasta 187.515 €</w:t>
            </w:r>
          </w:p>
        </w:tc>
        <w:tc>
          <w:tcPr>
            <w:tcW w:type="dxa" w:w="60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Activar hr_attendance para fichaje integrado con Planning · Exportar registros para Inspección de Trabajo · Configurar alertas de incumplimiento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7C3AED"/>
                <w:sz w:val="15"/>
                <w:szCs w:val="15"/>
              </w:rPr>
              <w:t xml:space="preserve">Fuente: Boletín Oficial del Estado (www.boe.es) · ET aprobado por RDL 2/2015 (BOE-A-2015-11430) · Última modificación ET: diciembre 2025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Nota: el convenio colectivo sectorial puede establecer condiciones más favorables que las aquí descritas. Se recomienda consultar con asesoría laboral el convenio aplicable a la empresa antes de configurar el sistema.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SGC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PR-OP-001  ·  Gestión de Turnos y Planificación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2026-04-04T16:41:29.581Z</dcterms:created>
  <dcterms:modified xsi:type="dcterms:W3CDTF">2026-04-04T16:41:29.581Z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